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Layout w:type="fixed"/>
        <w:tblW w:w="0" w:type="auto"/>
        <w:tblLook w:val="04A0"/>
      </w:tblPr>
      <w:tblGrid>
        <w:gridCol w:w="354"/>
        <w:gridCol w:w="223"/>
        <w:gridCol w:w="1116"/>
        <w:gridCol w:w="906"/>
        <w:gridCol w:w="1260"/>
        <w:gridCol w:w="1851"/>
        <w:gridCol w:w="643"/>
        <w:gridCol w:w="617"/>
        <w:gridCol w:w="1601"/>
        <w:gridCol w:w="1601"/>
        <w:gridCol w:w="1601"/>
      </w:tblGrid>
      <w:tr>
        <w:trPr>
          <w:trHeight w:val="225" w:hRule="exact"/>
        </w:trP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3111" w:type="dxa"/>
            <w:gridSpan w:val="2"/>
            <w:shd w:val="clear" w:color="FFFFFF" w:fill="auto"/>
            <w:vAlign w:val="bottom"/>
          </w:tcPr>
          <w:p>
            <w:pPr>
              <w:pStyle w:val="1CStyle-1"/>
            </w:pPr>
            <w:r>
              <w:t/>
            </w: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</w:tcPr>
          <w:p>
            <w:pPr>
              <w:pStyle w:val="1CStyle0"/>
            </w:pPr>
            <w:r>
              <w:t>КОДЫ</w:t>
            </w:r>
          </w:p>
        </w:tc>
      </w:tr>
      <w:t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pStyle w:val="1CStyle1"/>
            </w:pPr>
            <w:r>
              <w:t/>
            </w:r>
          </w:p>
        </w:tc>
        <w:tc>
          <w:tcPr>
            <w:tcW w:w="5972" w:type="dxa"/>
            <w:gridSpan w:val="5"/>
            <w:shd w:val="clear" w:color="FFFFFF" w:fill="auto"/>
            <w:vAlign w:val="bottom"/>
          </w:tcPr>
          <w:p>
            <w:pPr>
              <w:pStyle w:val="1CStyle2"/>
            </w:pPr>
            <w:r>
              <w:t>ОТЧЕТ О ФИНАНСОВЫХ РЕЗУЛЬТАТАХ ДЕЯТЕЛЬНОСТИ</w:t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pStyle w:val="1CStyle3"/>
            </w:pPr>
            <w:r>
              <w:t>Форма по ОКУД   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4"/>
            </w:pPr>
            <w:r>
              <w:t>0503121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pStyle w:val="1CStyle5"/>
            </w:pPr>
            <w:r>
              <w:t/>
            </w:r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pStyle w:val="1CStyle6"/>
            </w:pPr>
            <w:r>
              <w:t>на</w:t>
            </w:r>
          </w:p>
        </w:tc>
        <w:tc>
          <w:tcPr>
            <w:tcW w:w="3111" w:type="dxa"/>
            <w:gridSpan w:val="3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jc w:val="left"/>
            </w:pPr>
            <w:r>
              <w:t>«01» января 2015 г.</w:t>
            </w:r>
          </w:p>
        </w:tc>
        <w:tc>
          <w:tcPr>
            <w:tcW w:w="3202" w:type="dxa"/>
            <w:gridSpan w:val="2"/>
            <w:shd w:val="clear" w:color="FFFFFF" w:fill="auto"/>
            <w:vAlign w:val="bottom"/>
          </w:tcPr>
          <w:p>
            <w:pPr>
              <w:pStyle w:val="1CStyle7"/>
            </w:pPr>
            <w:r>
              <w:t>Дата   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8"/>
            </w:pPr>
            <w:r>
              <w:t>01.01.2015</w:t>
            </w:r>
          </w:p>
        </w:tc>
      </w:tr>
      <w:tr>
        <w:trPr>
          <w:trHeight w:val="510" w:hRule="exact"/>
        </w:trPr>
        <w:tc>
          <w:tcPr>
            <w:tcW w:w="3859" w:type="dxa"/>
            <w:vMerge w:val="restart"/>
            <w:gridSpan w:val="5"/>
            <w:shd w:val="clear" w:color="FFFFFF" w:fill="auto"/>
            <w:vAlign w:val="bottom"/>
            <w:tcBorders>
              <w:bottom w:val="none" w:sz="5" w:space="0" w:color="auto"/>
            </w:tcBorders>
          </w:tcPr>
          <w:p>
            <w:pPr>
              <w:pStyle w:val="1CStyle9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4712" w:type="dxa"/>
            <w:gridSpan w:val="4"/>
            <w:shd w:val="clear" w:color="FFFFFF" w:fill="auto"/>
            <w:vAlign w:val="bottom"/>
          </w:tcPr>
          <w:p>
            <w:pPr>
              <w:pStyle w:val="1CStyle10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pStyle w:val="1CStyle11"/>
            </w:pPr>
            <w:r>
              <w:t>по ОКПО   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2"/>
            </w:pPr>
            <w:r>
              <w:t>04094162</w:t>
            </w:r>
          </w:p>
        </w:tc>
      </w:tr>
      <w:tr>
        <w:tc>
          <w:tcPr>
            <w:tcW w:w="3859" w:type="dxa"/>
            <w:vMerge w:val="continue"/>
            <w:gridSpan w:val="5"/>
            <w:shd w:val="clear" w:color="FFFFFF" w:fill="auto"/>
            <w:vAlign w:val="bottom"/>
            <w:tcBorders>
              <w:bottom w:val="none" w:sz="5" w:space="0" w:color="auto"/>
            </w:tcBorders>
          </w:tcPr>
          <w:p>
            <w:pPr>
              <w:pStyle w:val="1CStyle9"/>
            </w:pPr>
            <w: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4712" w:type="dxa"/>
            <w:gridSpan w:val="4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pStyle w:val="1CStyle13"/>
            </w:pPr>
            <w:r>
              <w:t>Администрация Борского сельсовета Сухобузимского района Красноярского края</w:t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pStyle w:val="1CStyle3"/>
            </w:pPr>
            <w:r>
              <w:t>Глава по БК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4"/>
            </w:pPr>
            <w:r>
              <w:t>787</w:t>
            </w:r>
          </w:p>
        </w:tc>
      </w:tr>
      <w:tr>
        <w:tc>
          <w:tcPr>
            <w:tcW w:w="3859" w:type="dxa"/>
            <w:gridSpan w:val="5"/>
            <w:shd w:val="clear" w:color="FFFFFF" w:fill="auto"/>
            <w:vAlign w:val="top"/>
            <w:tcBorders>
              <w:bottom w:val="none" w:sz="5" w:space="0" w:color="auto"/>
            </w:tcBorders>
          </w:tcPr>
          <w:p>
            <w:pPr>
              <w:pStyle w:val="1CStyle15"/>
            </w:pPr>
            <w:r>
              <w:t>Наименование бюджета (публично-правового образования)</w:t>
            </w:r>
          </w:p>
        </w:tc>
        <w:tc>
          <w:tcPr>
            <w:tcW w:w="4712" w:type="dxa"/>
            <w:gridSpan w:val="4"/>
            <w:shd w:val="clear" w:color="FFFFFF" w:fill="#d5eeff"/>
            <w:vAlign w:val="bottom"/>
            <w:tcBorders>
              <w:bottom w:val="single" w:sz="5" w:space="0" w:color="auto"/>
            </w:tcBorders>
          </w:tcPr>
          <w:p>
            <w:pPr>
              <w:pStyle w:val="1CStyle13"/>
            </w:pPr>
            <w:r>
              <w:t>Бюджет Борского сельсовета Сухобузимского района</w:t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pStyle w:val="1CStyle3"/>
            </w:pPr>
            <w:r>
              <w:t>по ОКАТО  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6"/>
            </w:pPr>
            <w:r>
              <w:t>04251825000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</w:tcPr>
          <w:p>
            <w:pPr>
              <w:jc w:val="left"/>
            </w:pPr>
            <w:r>
              <w:t>Периодичность: годовая</w:t>
            </w: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17"/>
            </w:pPr>
            <w:r>
              <w:t/>
            </w:r>
          </w:p>
        </w:tc>
      </w:tr>
      <w:tr>
        <w:tc>
          <w:tcPr>
            <w:tcW w:w="1693" w:type="dxa"/>
            <w:gridSpan w:val="3"/>
            <w:shd w:val="clear" w:color="FFFFFF" w:fill="auto"/>
            <w:vAlign w:val="bottom"/>
          </w:tcPr>
          <w:p>
            <w:pPr>
              <w:jc w:val="left"/>
            </w:pPr>
            <w:r>
              <w:t>Единица измерения:</w:t>
            </w:r>
          </w:p>
        </w:tc>
        <w:tc>
          <w:tcPr>
            <w:tcW w:w="2166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>руб.</w:t>
            </w:r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3202" w:type="dxa"/>
            <w:gridSpan w:val="2"/>
            <w:shd w:val="clear" w:color="FFFFFF" w:fill="auto"/>
            <w:vAlign w:val="bottom"/>
          </w:tcPr>
          <w:p>
            <w:pPr>
              <w:pStyle w:val="1CStyle3"/>
            </w:pPr>
            <w:r>
              <w:t>по ОКЕИ   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18"/>
            </w:pPr>
            <w:r>
              <w:t>383</w:t>
            </w:r>
          </w:p>
        </w:tc>
      </w:tr>
      <w:tr>
        <w:trPr>
          <w:trHeight w:val="105" w:hRule="exact"/>
        </w:trP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546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0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center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Наименование показателя</w:t>
            </w:r>
          </w:p>
        </w:tc>
        <w:tc>
          <w:tcPr>
            <w:tcW w:w="643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Код</w:t>
              <w:br/>
              <w:t>
стро-</w:t>
              <w:br/>
              <w:t>
ки</w:t>
            </w:r>
          </w:p>
        </w:tc>
        <w:tc>
          <w:tcPr>
            <w:tcW w:w="617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Код</w:t>
              <w:br/>
              <w:t>
по КОСГУ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Бюджетная деятельность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Средства во временном распоряжении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Итого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>1</w:t>
            </w:r>
          </w:p>
        </w:tc>
        <w:tc>
          <w:tcPr>
            <w:tcW w:w="643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5"/>
            </w:pPr>
            <w:r>
              <w:t>2</w:t>
            </w:r>
          </w:p>
        </w:tc>
        <w:tc>
          <w:tcPr>
            <w:tcW w:w="61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3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4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5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8"/>
            </w:pPr>
            <w:r>
              <w:t>6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Доходы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</w:tcBorders>
          </w:tcPr>
          <w:p>
            <w:pPr>
              <w:pStyle w:val="1CStyle30"/>
            </w:pPr>
            <w:r>
              <w:t>010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</w:tcBorders>
          </w:tcPr>
          <w:p>
            <w:pPr>
              <w:pStyle w:val="1CStyle31"/>
            </w:pPr>
            <w:r>
              <w:t>100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(стр.020 + стр.030 + стр.040 + стр.050 + стр.060 + стр. 080 + стр.090 + стр.100 + стр.110)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</w:tcBorders>
          </w:tcPr>
          <w:p>
            <w:pPr>
              <w:pStyle w:val="1CStyle30"/>
            </w:pPr>
            <w:r>
              <w:t>010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</w:tcBorders>
          </w:tcPr>
          <w:p>
            <w:pPr>
              <w:pStyle w:val="1CStyle31"/>
            </w:pPr>
            <w:r>
              <w:t>100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6 638 270,55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6 638 270,55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Налоговые доходы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020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3 234 593,99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3 234 593,99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Доходы от собственности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030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10 064,65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10 064,65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Доходы от оказания платных услуг (работ)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040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Суммы принудительного изъятия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050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140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2 000,00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2 000,00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Безвозмездные поступления от бюджетов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060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150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3 353 950,00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3 353 950,00</w:t>
            </w:r>
          </w:p>
        </w:tc>
      </w:tr>
      <w:tr>
        <w:trPr>
          <w:trHeight w:val="210" w:hRule="exact"/>
        </w:trP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39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0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1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4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4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поступления от других бюджетов бюджетной системы Российской Федерации 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061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151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3 353 950,00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3 353 950,00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поступления от наднациональных организаций и правительств иностранных государств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062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152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поступления от международных финансовых организаций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063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153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Взносы на социальные нужды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080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160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Доходы от операций с активами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090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170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37 661,91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37 661,91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доходы от переоценки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091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171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доходы от реализации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092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172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37 661,91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37 661,91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чрезвычайные доходы от операций с активами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093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173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Прочие доходы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100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180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Доходы будущих периодов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110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130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Расходы 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</w:tcBorders>
          </w:tcPr>
          <w:p>
            <w:pPr>
              <w:pStyle w:val="1CStyle30"/>
            </w:pPr>
            <w:r>
              <w:t>150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</w:tcBorders>
          </w:tcPr>
          <w:p>
            <w:pPr>
              <w:pStyle w:val="1CStyle31"/>
            </w:pPr>
            <w:r>
              <w:t>200</w:t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(стр. 160 + стр. 170 + стр. 190 + стр. 210 + стр. 230 + стр. 240 + стр. 260 + стр. 270 + стр. 280)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</w:tcBorders>
          </w:tcPr>
          <w:p>
            <w:pPr>
              <w:pStyle w:val="1CStyle30"/>
            </w:pPr>
            <w:r>
              <w:t>150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</w:tcBorders>
          </w:tcPr>
          <w:p>
            <w:pPr>
              <w:pStyle w:val="1CStyle31"/>
            </w:pPr>
            <w:r>
              <w:t>200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6 155 883,85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6 155 883,85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Оплата труда и начисления на выплаты по оплате труда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160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210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2 117 327,33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2 117 327,33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заработная плата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161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211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1 626 907,56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1 626 907,56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прочие выплаты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162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212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начисления на выплаты по оплате труда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163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213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490 419,77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490 419,77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Приобретение работ, услуг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1 224 247,55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1 224 247,55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услуги связи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171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221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18 119,71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18 119,71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транспортные услуги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98 900,00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98 900,00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коммунальные услуги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575 965,56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575 965,56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арендная плата за пользование имуществом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174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224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работы, услуги по содержанию имущества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175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225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271 223,00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271 223,00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прочие работы, услуги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176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226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260 039,28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260 039,28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Обслуживание государственного (муниципального) долга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190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230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обслуживание внутреннего долга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191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231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обслуживание внешнего долга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192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232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Безвозмездные перечисления организациям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210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240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1 134 850,00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1 134 850,00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безвозмездные перечисления государственным и муниципальным организациям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211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241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1 134 850,00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1 134 850,00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безвозмездные  перечисления организациям, за исключением государственных и муниципальных организаций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212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242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Безвозмездные перечисления бюджетам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230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250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412 873,00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412 873,00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перечисления другим бюджетам бюджетной системы Российской Федерации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231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251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412 873,00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412 873,00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перечисления наднациональным организациям и правительствам иностранных государств 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232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252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перечисления международным организациям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5"/>
            </w:pPr>
            <w:r>
              <w:t>233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6"/>
            </w:pPr>
            <w:r>
              <w:t>253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7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59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0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center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Наименование показателя</w:t>
            </w:r>
          </w:p>
        </w:tc>
        <w:tc>
          <w:tcPr>
            <w:tcW w:w="643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Код</w:t>
              <w:br/>
              <w:t>
стро-</w:t>
              <w:br/>
              <w:t>
ки</w:t>
            </w:r>
          </w:p>
        </w:tc>
        <w:tc>
          <w:tcPr>
            <w:tcW w:w="617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Код</w:t>
              <w:br/>
              <w:t>
по КОСГУ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Бюджетная деятельность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Средства во временном распоряжении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Итого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>1</w:t>
            </w:r>
          </w:p>
        </w:tc>
        <w:tc>
          <w:tcPr>
            <w:tcW w:w="643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5"/>
            </w:pPr>
            <w:r>
              <w:t>2</w:t>
            </w:r>
          </w:p>
        </w:tc>
        <w:tc>
          <w:tcPr>
            <w:tcW w:w="61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3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4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5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8"/>
            </w:pPr>
            <w:r>
              <w:t>6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Социальное обеспечение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240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260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1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52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пенсии, пособия и выплаты по пенсионному, социальному и медицинскому страхованию населения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none" w:sz="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6"/>
            </w:pPr>
            <w:r>
              <w:t>241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none" w:sz="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47"/>
            </w:pPr>
            <w:r>
              <w:t>261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пособия по социальной помощи населению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242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262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6"/>
            </w:pPr>
            <w:r>
              <w:t>243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7"/>
            </w:pPr>
            <w:r>
              <w:t>263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Расходы по операциям с активами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260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270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1 265 768,97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1 265 768,97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амортизация основных средств и нематериальных 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261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271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1 088 252,51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1 088 252,51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расходование материальных запасов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262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272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177 516,46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177 516,46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чрезвычайные расходы по операциям с активами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263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273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rPr>
          <w:trHeight w:val="225" w:hRule="exact"/>
        </w:trP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64"/>
            </w:pPr>
            <w:r>
              <w:t>Прочие расходы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5"/>
            </w:pPr>
            <w:r>
              <w:t>270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6"/>
            </w:pPr>
            <w:r>
              <w:t>290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7"/>
            </w:pPr>
            <w:r>
              <w:t>817,00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69"/>
            </w:pPr>
            <w:r>
              <w:t>817,00</w:t>
            </w:r>
          </w:p>
        </w:tc>
      </w:tr>
      <w:tr>
        <w:trPr>
          <w:trHeight w:val="225" w:hRule="exact"/>
        </w:trP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64"/>
            </w:pPr>
            <w:r>
              <w:t>Расходы будущих периодов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5"/>
            </w:pPr>
            <w:r>
              <w:t>280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6"/>
            </w:pPr>
            <w:r>
              <w:t/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70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71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72"/>
            </w:pPr>
            <w:r>
              <w:t>Чистый операционный результат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</w:tcBorders>
          </w:tcPr>
          <w:p>
            <w:pPr>
              <w:pStyle w:val="1CStyle73"/>
            </w:pPr>
            <w:r>
              <w:t>290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74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t>(стр. 291 − стр. 292);  (стр. 310 + стр. 380)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</w:tcBorders>
          </w:tcPr>
          <w:p>
            <w:pPr>
              <w:pStyle w:val="1CStyle73"/>
            </w:pPr>
            <w:r>
              <w:t>290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74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482 386,70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482 386,70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Операционный результат до налогообложения (стр. 010 − стр. 150)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291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482 386,70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482 386,70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Налог на прибыль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292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Операции с нефинансовыми активами 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</w:tcBorders>
          </w:tcPr>
          <w:p>
            <w:pPr>
              <w:pStyle w:val="1CStyle73"/>
            </w:pPr>
            <w:r>
              <w:t>310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74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t>(стр. 320 + стр. 330 + стр. 350 + стр. 360 + стр. 370)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</w:tcBorders>
          </w:tcPr>
          <w:p>
            <w:pPr>
              <w:pStyle w:val="1CStyle73"/>
            </w:pPr>
            <w:r>
              <w:t>310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74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63 382,40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63 382,40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основных средств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320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70 519,52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70 519,52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bottom w:val="none" w:sz="0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основных средств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321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310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1 158 772,03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1 158 772,03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основных средств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322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410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1 088 252,51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1 088 252,51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нематериальных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330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bottom w:val="none" w:sz="0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нематериальных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331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320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нематериальных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332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420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непроизведенных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350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bottom w:val="none" w:sz="0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непроизведенных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351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330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непроизведенных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352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430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материальных запасов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360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-7 137,12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-7 137,12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bottom w:val="none" w:sz="0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материальных запасов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361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340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170 379,34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170 379,34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материальных запасов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362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440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177 516,46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177 516,46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изменение затрат на изготовление готовой продукции, выполнение работ, услуг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370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bottom w:val="none" w:sz="0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затрат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371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х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затрат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75"/>
            </w:pPr>
            <w:r>
              <w:t>372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76"/>
            </w:pPr>
            <w:r>
              <w:t>х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7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59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none" w:sz="0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center"/>
            <w:tcBorders>
              <w:top w:val="single" w:sz="5" w:space="0" w:color="auto"/>
              <w:left w:val="none" w:sz="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19"/>
            </w:pPr>
            <w:r>
              <w:t>Наименование показателя</w:t>
            </w:r>
          </w:p>
        </w:tc>
        <w:tc>
          <w:tcPr>
            <w:tcW w:w="643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0"/>
            </w:pPr>
            <w:r>
              <w:t>Код</w:t>
              <w:br/>
              <w:t>
стро-</w:t>
              <w:br/>
              <w:t>
ки</w:t>
            </w:r>
          </w:p>
        </w:tc>
        <w:tc>
          <w:tcPr>
            <w:tcW w:w="617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1"/>
            </w:pPr>
            <w:r>
              <w:t>Код</w:t>
              <w:br/>
              <w:t>
по КОСГУ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Бюджетная деятельность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2"/>
            </w:pPr>
            <w:r>
              <w:t>Средства во временном распоряжении</w:t>
            </w:r>
          </w:p>
        </w:tc>
        <w:tc>
          <w:tcPr>
            <w:tcW w:w="1601" w:type="dxa"/>
            <w:shd w:val="clear" w:color="FFFFFF" w:fill="auto"/>
            <w:vAlign w:val="top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3"/>
            </w:pPr>
            <w:r>
              <w:t>Итого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24"/>
            </w:pPr>
            <w:r>
              <w:t>1</w:t>
            </w:r>
          </w:p>
        </w:tc>
        <w:tc>
          <w:tcPr>
            <w:tcW w:w="643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5"/>
            </w:pPr>
            <w:r>
              <w:t>2</w:t>
            </w:r>
          </w:p>
        </w:tc>
        <w:tc>
          <w:tcPr>
            <w:tcW w:w="617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6"/>
            </w:pPr>
            <w:r>
              <w:t>3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4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7"/>
            </w:pPr>
            <w:r>
              <w:t>5</w:t>
            </w:r>
          </w:p>
        </w:tc>
        <w:tc>
          <w:tcPr>
            <w:tcW w:w="1601" w:type="dxa"/>
            <w:shd w:val="clear" w:color="FFFFFF" w:fill="auto"/>
            <w:vAlign w:val="center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28"/>
            </w:pPr>
            <w:r>
              <w:t>6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Операции с финансовыми активами и обязательствами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380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t>(стр. 390 − стр. 510)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380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419 004,30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419 004,30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Операции с финансовыми активами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390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t>(стр. 410 + стр. 420 + стр. 440 + стр. 460 + стр. 470 + стр. 480)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390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296 813,27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296 813,27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средств на счета бюджетов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410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241 536,39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241 536,39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поступление на счета бюджетов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411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8 219 809,11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8 219 809,11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выбытия со счетов бюджетов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412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7 978 272,72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7 978 272,72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ценных бумаг, кроме акций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420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ценных бумаг, кроме акций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421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ценных бумаг, кроме акций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422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акций и иных форм участия в капитале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440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7 800,00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7 800,00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акций и иных форм участия в капитале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441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7 800,00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7 800,00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акций и иных форм участия в капитале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442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предоставление бюджетных кредитов 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460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задолженности по бюджетным кредитам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461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540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задолженности по бюджетным ссудам и кредитам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462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640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поступление иных финансовых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470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стоимости иных финансовых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471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550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стоимости иных финансовых активов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472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650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увеличение прочей дебиторской задолженности (кроме бюджетных кредитов)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480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47 476,88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77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47 476,88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прочей дебиторской задолженности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481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560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8 620 089,16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8 620 089,16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прочей дебиторской задолженности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482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660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8 572 612,28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8 572 612,28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29"/>
            </w:pPr>
            <w:r>
              <w:t>Операции с обязательствами</w:t>
            </w:r>
          </w:p>
        </w:tc>
        <w:tc>
          <w:tcPr>
            <w:tcW w:w="643" w:type="dxa"/>
            <w:vMerge w:val="restart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510</w:t>
            </w:r>
          </w:p>
        </w:tc>
        <w:tc>
          <w:tcPr>
            <w:tcW w:w="617" w:type="dxa"/>
            <w:vMerge w:val="restart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left w:val="single" w:sz="5" w:space="0" w:color="auto"/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jc w:val="left"/>
            </w:pPr>
            <w:r>
              <w:t>(стр. 520 + стр. 530 + стр. 540)</w:t>
            </w:r>
          </w:p>
        </w:tc>
        <w:tc>
          <w:tcPr>
            <w:tcW w:w="643" w:type="dxa"/>
            <w:vMerge w:val="continue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510</w:t>
            </w:r>
          </w:p>
        </w:tc>
        <w:tc>
          <w:tcPr>
            <w:tcW w:w="617" w:type="dxa"/>
            <w:vMerge w:val="continue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-122 191,03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-122 191,03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увеличение задолженности по внутреннему государственному (муниципальному)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520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задолженности по внутреннему государственному (муниципальному)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521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710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задолженности по внутреннему государственному (муниципальному)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522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810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увеличение задолженности по внешнему государственному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530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задолженности по внешнему государственному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531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720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задолженности по внешнему государственному долгу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532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820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ffffff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54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</w:t>
            </w:r>
          </w:p>
        </w:tc>
      </w:tr>
      <w:tr>
        <w:tc>
          <w:tcPr>
            <w:tcW w:w="5710" w:type="dxa"/>
            <w:gridSpan w:val="6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32"/>
            </w:pPr>
            <w:r>
              <w:t>Чистое увеличение прочей кредиторской задолженности 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540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/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-122 191,03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3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-122 191,03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</w:tcBorders>
          </w:tcPr>
          <w:p>
            <w:pPr>
              <w:pStyle w:val="1CStyle48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49"/>
            </w:pPr>
            <w:r>
              <w:t/>
            </w:r>
          </w:p>
        </w:tc>
        <w:tc>
          <w:tcPr>
            <w:tcW w:w="5133" w:type="dxa"/>
            <w:gridSpan w:val="4"/>
            <w:shd w:val="clear" w:color="FFFFFF" w:fill="auto"/>
            <w:vAlign w:val="bottom"/>
            <w:tcBorders>
              <w:bottom w:val="none" w:sz="0" w:space="0" w:color="auto"/>
            </w:tcBorders>
          </w:tcPr>
          <w:p>
            <w:pPr>
              <w:pStyle w:val="1CStyle50"/>
            </w:pPr>
            <w:r>
              <w:t>в том числе: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2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none" w:sz="0" w:space="0" w:color="auto"/>
              <w:right w:val="single" w:sz="5" w:space="0" w:color="auto"/>
            </w:tcBorders>
          </w:tcPr>
          <w:p>
            <w:pPr>
              <w:pStyle w:val="1CStyle63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5" w:space="0" w:color="auto"/>
            </w:tcBorders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  <w:tcBorders>
              <w:right w:val="single" w:sz="10" w:space="0" w:color="auto"/>
            </w:tcBorders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увеличение прочей кредиторской задолженности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0"/>
            </w:pPr>
            <w:r>
              <w:t>541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61"/>
            </w:pPr>
            <w:r>
              <w:t>730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6 591 803,63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>
            <w:pPr>
              <w:pStyle w:val="1CStyle38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</w:tcPr>
          <w:p>
            <w:pPr>
              <w:pStyle w:val="1CStyle35"/>
            </w:pPr>
            <w:r>
              <w:t>6 591 803,63</w:t>
            </w:r>
          </w:p>
        </w:tc>
      </w:tr>
      <w:tr>
        <w:tc>
          <w:tcPr>
            <w:tcW w:w="354" w:type="dxa"/>
            <w:shd w:val="clear" w:color="FFFFFF" w:fill="auto"/>
            <w:vAlign w:val="bottom"/>
            <w:tcBorders>
              <w:left w:val="single" w:sz="5" w:space="0" w:color="auto"/>
              <w:bottom w:val="single" w:sz="5" w:space="0" w:color="auto"/>
            </w:tcBorders>
          </w:tcPr>
          <w:p>
            <w:pPr>
              <w:pStyle w:val="1CStyle44"/>
            </w:pPr>
            <w:r>
              <w:t/>
            </w:r>
          </w:p>
        </w:tc>
        <w:tc>
          <w:tcPr>
            <w:tcW w:w="5356" w:type="dxa"/>
            <w:gridSpan w:val="5"/>
            <w:shd w:val="clear" w:color="FFFFFF" w:fill="auto"/>
            <w:vAlign w:val="bottom"/>
            <w:tcBorders>
              <w:bottom w:val="single" w:sz="5" w:space="0" w:color="auto"/>
            </w:tcBorders>
          </w:tcPr>
          <w:p>
            <w:pPr>
              <w:pStyle w:val="1CStyle45"/>
            </w:pPr>
            <w:r>
              <w:t>уменьшение прочей кредиторской задолженности</w:t>
            </w:r>
          </w:p>
        </w:tc>
        <w:tc>
          <w:tcPr>
            <w:tcW w:w="643" w:type="dxa"/>
            <w:shd w:val="clear" w:color="FFFFFF" w:fill="auto"/>
            <w:vAlign w:val="bottom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75"/>
            </w:pPr>
            <w:r>
              <w:t>542</w:t>
            </w:r>
          </w:p>
        </w:tc>
        <w:tc>
          <w:tcPr>
            <w:tcW w:w="617" w:type="dxa"/>
            <w:shd w:val="clear" w:color="FFFFFF" w:fill="auto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76"/>
            </w:pPr>
            <w:r>
              <w:t>830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7"/>
            </w:pPr>
            <w:r>
              <w:t>6 713 994,66</w:t>
            </w:r>
          </w:p>
        </w:tc>
        <w:tc>
          <w:tcPr>
            <w:tcW w:w="1601" w:type="dxa"/>
            <w:shd w:val="clear" w:color="FFFFFF" w:fill="#ffffc0"/>
            <w:vAlign w:val="bottom"/>
            <w:tcBorders>
              <w:left w:val="single" w:sz="5" w:space="0" w:color="auto"/>
              <w:bottom w:val="single" w:sz="10" w:space="0" w:color="auto"/>
              <w:right w:val="single" w:sz="5" w:space="0" w:color="auto"/>
            </w:tcBorders>
          </w:tcPr>
          <w:p>
            <w:pPr>
              <w:pStyle w:val="1CStyle57"/>
            </w:pPr>
            <w:r>
              <w:t>-</w:t>
            </w:r>
          </w:p>
        </w:tc>
        <w:tc>
          <w:tcPr>
            <w:tcW w:w="1601" w:type="dxa"/>
            <w:shd w:val="clear" w:color="FFFFFF" w:fill="#c0dcc0"/>
            <w:vAlign w:val="bottom"/>
            <w:tcBorders>
              <w:left w:val="single" w:sz="5" w:space="0" w:color="auto"/>
              <w:bottom w:val="single" w:sz="10" w:space="0" w:color="auto"/>
              <w:right w:val="single" w:sz="10" w:space="0" w:color="auto"/>
            </w:tcBorders>
          </w:tcPr>
          <w:p>
            <w:pPr>
              <w:pStyle w:val="1CStyle59"/>
            </w:pPr>
            <w:r>
              <w:t>6 713 994,66</w:t>
            </w:r>
          </w:p>
        </w:tc>
      </w:tr>
      <w:tr>
        <w:trPr>
          <w:trHeight w:val="345" w:hRule="exact"/>
        </w:trP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022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</w:tbl>
    <w:tbl>
      <w:tblPr>
        <w:tblStyle w:val="TableStyle1"/>
        <w:tblLayout w:type="fixed"/>
        <w:tblW w:w="0" w:type="auto"/>
        <w:tblLook w:val="04A0"/>
      </w:tblPr>
      <w:tblGrid>
        <w:gridCol w:w="131"/>
        <w:gridCol w:w="354"/>
        <w:gridCol w:w="223"/>
        <w:gridCol w:w="1116"/>
        <w:gridCol w:w="906"/>
        <w:gridCol w:w="538"/>
        <w:gridCol w:w="276"/>
        <w:gridCol w:w="249"/>
        <w:gridCol w:w="945"/>
        <w:gridCol w:w="591"/>
        <w:gridCol w:w="722"/>
        <w:gridCol w:w="735"/>
        <w:gridCol w:w="617"/>
        <w:gridCol w:w="735"/>
        <w:gridCol w:w="722"/>
        <w:gridCol w:w="735"/>
        <w:gridCol w:w="1457"/>
      </w:tblGrid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gridSpan w:val="3"/>
            <w:shd w:val="clear" w:color="FFFFFF" w:fill="auto"/>
            <w:vAlign w:val="bottom"/>
          </w:tcPr>
          <w:p>
            <w:pPr>
              <w:pStyle w:val="1CStyle78"/>
            </w:pPr>
            <w:r>
              <w:t>Руководитель</w:t>
            </w:r>
          </w:p>
        </w:tc>
        <w:tc>
          <w:tcPr>
            <w:tcW w:w="1444" w:type="dxa"/>
            <w:gridSpan w:val="2"/>
            <w:shd w:val="clear" w:color="FFFFFF" w:fill="auto"/>
            <w:vAlign w:val="bottom"/>
          </w:tcPr>
          <w:p>
            <w:pPr>
              <w:pStyle w:val="1CStyle79"/>
            </w:pPr>
            <w:r>
              <w:t/>
            </w: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993" w:type="dxa"/>
            <w:gridSpan w:val="4"/>
            <w:shd w:val="clear" w:color="FFFFFF" w:fill="auto"/>
            <w:vAlign w:val="bottom"/>
          </w:tcPr>
          <w:p>
            <w:pPr>
              <w:jc w:val="left"/>
            </w:pPr>
            <w:r>
              <w:t>В.С. Рубин</w:t>
            </w:r>
          </w:p>
        </w:tc>
        <w:tc>
          <w:tcPr>
            <w:tcW w:w="4266" w:type="dxa"/>
            <w:vMerge w:val="restart"/>
            <w:gridSpan w:val="5"/>
            <w:shd w:val="clear" w:color="FFFFFF" w:fill="auto"/>
            <w:vAlign w:val="bottom"/>
          </w:tcPr>
          <w:p>
            <w:pPr>
              <w:pStyle w:val="1CStyle80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gridSpan w:val="3"/>
            <w:shd w:val="clear" w:color="FFFFFF" w:fill="auto"/>
            <w:vAlign w:val="bottom"/>
          </w:tcPr>
          <w:p>
            <w:pPr>
              <w:pStyle w:val="1CStyle81"/>
            </w:pPr>
            <w:r>
              <w:t> </w:t>
            </w:r>
          </w:p>
        </w:tc>
        <w:tc>
          <w:tcPr>
            <w:tcW w:w="1444" w:type="dxa"/>
            <w:gridSpan w:val="2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2"/>
            </w:pPr>
            <w:r>
              <w:t>(подпись)</w:t>
            </w:r>
          </w:p>
        </w:tc>
        <w:tc>
          <w:tcPr>
            <w:tcW w:w="525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993" w:type="dxa"/>
            <w:gridSpan w:val="4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(расшифровка подписи)</w:t>
            </w:r>
          </w:p>
        </w:tc>
        <w:tc>
          <w:tcPr>
            <w:tcW w:w="4266" w:type="dxa"/>
            <w:vMerge w:val="continue"/>
            <w:gridSpan w:val="5"/>
            <w:shd w:val="clear" w:color="FFFFFF" w:fill="auto"/>
            <w:vAlign w:val="bottom"/>
          </w:tcPr>
          <w:p>
            <w:pPr>
              <w:pStyle w:val="1CStyle80"/>
            </w:pPr>
            <w:r>
              <w:t/>
            </w:r>
          </w:p>
        </w:tc>
      </w:tr>
      <w:t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0921" w:type="dxa"/>
            <w:gridSpan w:val="16"/>
            <w:shd w:val="clear" w:color="FFFFFF" w:fill="auto"/>
            <w:vAlign w:val="bottom"/>
          </w:tcPr>
          <w:p>
            <w:pPr>
              <w:pStyle w:val="1CStyle84"/>
            </w:pPr>
            <w:r>
              <w:t/>
            </w:r>
          </w:p>
        </w:tc>
      </w:tr>
      <w:tr>
        <w:trPr>
          <w:trHeight w:val="49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99" w:type="dxa"/>
            <w:gridSpan w:val="4"/>
            <w:shd w:val="clear" w:color="FFFFFF" w:fill="auto"/>
            <w:vAlign w:val="bottom"/>
          </w:tcPr>
          <w:p>
            <w:pPr>
              <w:pStyle w:val="1CStyle85"/>
            </w:pPr>
            <w:r>
              <w:t>Главный бухгалтер</w:t>
            </w:r>
          </w:p>
        </w:tc>
        <w:tc>
          <w:tcPr>
            <w:tcW w:w="2008" w:type="dxa"/>
            <w:gridSpan w:val="4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59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809" w:type="dxa"/>
            <w:gridSpan w:val="4"/>
            <w:shd w:val="clear" w:color="FFFFFF" w:fill="auto"/>
            <w:vAlign w:val="bottom"/>
          </w:tcPr>
          <w:p>
            <w:pPr>
              <w:jc w:val="left"/>
            </w:pPr>
            <w:r>
              <w:t>С.Т. Баденкова</w:t>
            </w:r>
          </w:p>
        </w:tc>
        <w:tc>
          <w:tcPr>
            <w:tcW w:w="2914" w:type="dxa"/>
            <w:vMerge w:val="restart"/>
            <w:gridSpan w:val="3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99" w:type="dxa"/>
            <w:gridSpan w:val="4"/>
            <w:shd w:val="clear" w:color="FFFFFF" w:fill="auto"/>
            <w:vAlign w:val="bottom"/>
          </w:tcPr>
          <w:p>
            <w:pPr>
              <w:pStyle w:val="1CStyle81"/>
            </w:pPr>
            <w:r>
              <w:t> </w:t>
            </w:r>
          </w:p>
        </w:tc>
        <w:tc>
          <w:tcPr>
            <w:tcW w:w="2008" w:type="dxa"/>
            <w:gridSpan w:val="4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(подпись)</w:t>
            </w:r>
          </w:p>
        </w:tc>
        <w:tc>
          <w:tcPr>
            <w:tcW w:w="59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809" w:type="dxa"/>
            <w:gridSpan w:val="4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(расшифровка подписи)</w:t>
            </w:r>
          </w:p>
        </w:tc>
        <w:tc>
          <w:tcPr>
            <w:tcW w:w="2914" w:type="dxa"/>
            <w:vMerge w:val="continue"/>
            <w:gridSpan w:val="3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</w:tr>
      <w:t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0921" w:type="dxa"/>
            <w:gridSpan w:val="16"/>
            <w:shd w:val="clear" w:color="FFFFFF" w:fill="auto"/>
            <w:vAlign w:val="bottom"/>
          </w:tcPr>
          <w:p>
            <w:pPr>
              <w:pStyle w:val="1CStyle86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99" w:type="dxa"/>
            <w:vMerge w:val="restart"/>
            <w:gridSpan w:val="4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4056" w:type="dxa"/>
            <w:gridSpan w:val="7"/>
            <w:shd w:val="clear" w:color="FFFFFF" w:fill="auto"/>
            <w:vAlign w:val="bottom"/>
          </w:tcPr>
          <w:p>
            <w:pPr>
              <w:pStyle w:val="1CStyle87"/>
            </w:pPr>
            <w:r>
              <w:t>Централизованная бухгалтерия</w:t>
            </w:r>
          </w:p>
        </w:tc>
        <w:tc>
          <w:tcPr>
            <w:tcW w:w="4266" w:type="dxa"/>
            <w:gridSpan w:val="5"/>
            <w:shd w:val="clear" w:color="FFFFFF" w:fill="#d5eeff"/>
            <w:vAlign w:val="bottom"/>
          </w:tcPr>
          <w:p>
            <w:pPr>
              <w:jc w:val="left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99" w:type="dxa"/>
            <w:vMerge w:val="continue"/>
            <w:gridSpan w:val="4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4056" w:type="dxa"/>
            <w:gridSpan w:val="7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4266" w:type="dxa"/>
            <w:gridSpan w:val="5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(наименование, ОГРН, ИНН, КПП, местонахождение)</w:t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3137" w:type="dxa"/>
            <w:vMerge w:val="restart"/>
            <w:gridSpan w:val="5"/>
            <w:shd w:val="clear" w:color="FFFFFF" w:fill="auto"/>
            <w:vAlign w:val="bottom"/>
          </w:tcPr>
          <w:p>
            <w:pPr>
              <w:pStyle w:val="1CStyle88"/>
            </w:pPr>
            <w:r>
              <w:t>Руководитель </w:t>
              <w:br/>
              <w:t>
 (уполномоченное лицо)</w:t>
            </w:r>
          </w:p>
        </w:tc>
        <w:tc>
          <w:tcPr>
            <w:tcW w:w="1470" w:type="dxa"/>
            <w:gridSpan w:val="3"/>
            <w:shd w:val="clear" w:color="FFFFFF" w:fill="#d5eeff"/>
            <w:vAlign w:val="bottom"/>
          </w:tcPr>
          <w:p>
            <w:pPr>
              <w:pStyle w:val="1CStyle89"/>
            </w:pPr>
            <w:r>
              <w:t/>
            </w:r>
          </w:p>
        </w:tc>
        <w:tc>
          <w:tcPr>
            <w:tcW w:w="591" w:type="dxa"/>
            <w:shd w:val="clear" w:color="FFFFFF" w:fill="auto"/>
            <w:vAlign w:val="bottom"/>
          </w:tcPr>
          <w:p>
            <w:pPr>
              <w:pStyle w:val="1CStyle90"/>
            </w:pPr>
            <w:r>
              <w:t/>
            </w:r>
          </w:p>
        </w:tc>
        <w:tc>
          <w:tcPr>
            <w:tcW w:w="1457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617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192" w:type="dxa"/>
            <w:gridSpan w:val="3"/>
            <w:shd w:val="clear" w:color="FFFFFF" w:fill="#d5eeff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457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3137" w:type="dxa"/>
            <w:vMerge w:val="continue"/>
            <w:gridSpan w:val="5"/>
            <w:shd w:val="clear" w:color="FFFFFF" w:fill="auto"/>
            <w:vAlign w:val="bottom"/>
          </w:tcPr>
          <w:p>
            <w:pPr>
              <w:pStyle w:val="1CStyle88"/>
            </w:pPr>
            <w:r>
              <w:t>Руководитель </w:t>
              <w:br/>
              <w:t>
 (уполномоченное лицо)</w:t>
            </w:r>
          </w:p>
        </w:tc>
        <w:tc>
          <w:tcPr>
            <w:tcW w:w="1470" w:type="dxa"/>
            <w:gridSpan w:val="3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(должность)</w:t>
            </w:r>
          </w:p>
        </w:tc>
        <w:tc>
          <w:tcPr>
            <w:tcW w:w="591" w:type="dxa"/>
            <w:shd w:val="clear" w:color="FFFFFF" w:fill="auto"/>
            <w:vAlign w:val="bottom"/>
          </w:tcPr>
          <w:p>
            <w:pPr>
              <w:pStyle w:val="1CStyle91"/>
            </w:pPr>
            <w:r>
              <w:t/>
            </w:r>
          </w:p>
        </w:tc>
        <w:tc>
          <w:tcPr>
            <w:tcW w:w="1457" w:type="dxa"/>
            <w:gridSpan w:val="2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(подпись)</w:t>
            </w:r>
          </w:p>
        </w:tc>
        <w:tc>
          <w:tcPr>
            <w:tcW w:w="617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192" w:type="dxa"/>
            <w:gridSpan w:val="3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(расшифровка подписи)</w:t>
            </w:r>
          </w:p>
        </w:tc>
        <w:tc>
          <w:tcPr>
            <w:tcW w:w="1457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  <w:t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0921" w:type="dxa"/>
            <w:gridSpan w:val="16"/>
            <w:shd w:val="clear" w:color="FFFFFF" w:fill="auto"/>
            <w:vAlign w:val="bottom"/>
          </w:tcPr>
          <w:p>
            <w:pPr>
              <w:pStyle w:val="1CStyle84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93" w:type="dxa"/>
            <w:gridSpan w:val="3"/>
            <w:shd w:val="clear" w:color="FFFFFF" w:fill="auto"/>
            <w:vAlign w:val="bottom"/>
          </w:tcPr>
          <w:p>
            <w:pPr>
              <w:pStyle w:val="1CStyle78"/>
            </w:pPr>
            <w:r>
              <w:t>Исполнитель</w:t>
            </w:r>
          </w:p>
        </w:tc>
        <w:tc>
          <w:tcPr>
            <w:tcW w:w="1444" w:type="dxa"/>
            <w:gridSpan w:val="2"/>
            <w:shd w:val="clear" w:color="FFFFFF" w:fill="#d5eeff"/>
            <w:vAlign w:val="bottom"/>
          </w:tcPr>
          <w:p>
            <w:pPr>
              <w:pStyle w:val="1CStyle92"/>
            </w:pPr>
            <w:r>
              <w:t/>
            </w:r>
          </w:p>
        </w:tc>
        <w:tc>
          <w:tcPr>
            <w:tcW w:w="276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07" w:type="dxa"/>
            <w:gridSpan w:val="4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735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74" w:type="dxa"/>
            <w:gridSpan w:val="3"/>
            <w:shd w:val="clear" w:color="FFFFFF" w:fill="#d5eeff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735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457" w:type="dxa"/>
            <w:shd w:val="clear" w:color="FFFFFF" w:fill="#d5eeff"/>
            <w:vAlign w:val="bottom"/>
          </w:tcPr>
          <w:p>
            <w:pPr>
              <w:jc w:val="left"/>
            </w:pPr>
            <w:r>
              <w:t/>
            </w:r>
          </w:p>
        </w:tc>
      </w:tr>
      <w:tr>
        <w:trPr>
          <w:trHeight w:val="345" w:hRule="exact"/>
        </w:trPr>
        <w:tc>
          <w:tcPr>
            <w:tcW w:w="13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354" w:type="dxa"/>
            <w:shd w:val="clear" w:color="FFFFFF" w:fill="auto"/>
            <w:vAlign w:val="bottom"/>
          </w:tcPr>
          <w:p>
            <w:pPr>
              <w:pStyle w:val="1CStyle81"/>
            </w:pPr>
            <w:r>
              <w:t> </w:t>
            </w:r>
          </w:p>
        </w:tc>
        <w:tc>
          <w:tcPr>
            <w:tcW w:w="223" w:type="dxa"/>
            <w:shd w:val="clear" w:color="FFFFFF" w:fill="auto"/>
            <w:vAlign w:val="top"/>
            <w:tcBorders>
              <w:top w:val="none" w:sz="5" w:space="0" w:color="auto"/>
            </w:tcBorders>
          </w:tcPr>
          <w:p>
            <w:pPr>
              <w:pStyle w:val="1CStyle93"/>
            </w:pPr>
            <w:r>
              <w:t/>
            </w:r>
          </w:p>
        </w:tc>
        <w:tc>
          <w:tcPr>
            <w:tcW w:w="1116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444" w:type="dxa"/>
            <w:gridSpan w:val="2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(должность)</w:t>
            </w:r>
          </w:p>
        </w:tc>
        <w:tc>
          <w:tcPr>
            <w:tcW w:w="276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2507" w:type="dxa"/>
            <w:gridSpan w:val="4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(подпись)</w:t>
            </w:r>
          </w:p>
        </w:tc>
        <w:tc>
          <w:tcPr>
            <w:tcW w:w="735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74" w:type="dxa"/>
            <w:gridSpan w:val="3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(расшифровка подписи)</w:t>
            </w:r>
          </w:p>
        </w:tc>
        <w:tc>
          <w:tcPr>
            <w:tcW w:w="735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457" w:type="dxa"/>
            <w:shd w:val="clear" w:color="FFFFFF" w:fill="auto"/>
            <w:vAlign w:val="top"/>
            <w:tcBorders>
              <w:top w:val="single" w:sz="5" w:space="0" w:color="auto"/>
            </w:tcBorders>
          </w:tcPr>
          <w:p>
            <w:pPr>
              <w:pStyle w:val="1CStyle83"/>
            </w:pPr>
            <w:r>
              <w:t>(телефон, e-mail)</w:t>
            </w:r>
          </w:p>
        </w:tc>
      </w:tr>
    </w:tbl>
    <w:tbl>
      <w:tblPr>
        <w:tblStyle w:val="TableStyle2"/>
        <w:tblLayout w:type="fixed"/>
        <w:tblW w:w="0" w:type="auto"/>
        <w:tblLook w:val="04A0"/>
      </w:tblPr>
      <w:tblGrid>
        <w:gridCol w:w="354"/>
        <w:gridCol w:w="223"/>
        <w:gridCol w:w="1116"/>
        <w:gridCol w:w="906"/>
        <w:gridCol w:w="1260"/>
        <w:gridCol w:w="1851"/>
        <w:gridCol w:w="643"/>
        <w:gridCol w:w="617"/>
        <w:gridCol w:w="1601"/>
        <w:gridCol w:w="1601"/>
        <w:gridCol w:w="1601"/>
      </w:tblGrid>
      <w:tr>
        <w:trPr>
          <w:trHeight w:val="240" w:hRule="exact"/>
        </w:trPr>
        <w:tc>
          <w:tcPr>
            <w:tcW w:w="354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23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2022" w:type="dxa"/>
            <w:gridSpan w:val="2"/>
            <w:shd w:val="clear" w:color="FFFFFF" w:fill="#d5eeff"/>
            <w:vAlign w:val="bottom"/>
          </w:tcPr>
          <w:p>
            <w:pPr>
              <w:pStyle w:val="1CStyle94"/>
            </w:pPr>
            <w:r>
              <w:t>19 января 2015 г.</w:t>
            </w:r>
          </w:p>
        </w:tc>
        <w:tc>
          <w:tcPr>
            <w:tcW w:w="1260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85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>
              <w:t/>
            </w:r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  <w:tc>
          <w:tcPr>
            <w:tcW w:w="1601" w:type="dxa"/>
            <w:shd w:val="clear" w:color="FFFFFF" w:fill="auto"/>
            <w:vAlign w:val="bottom"/>
          </w:tcPr>
          <w:p>
            <w:pPr>
              <w:jc w:val="left"/>
            </w:pPr>
            <w:r/>
          </w:p>
        </w:tc>
      </w:tr>
    </w:tbl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paragraph" w:styleId="1CStyle6">
    <w:name w:val="1CStyle6"/>
    <w:basedOn w:val="Normal"/>
    <w:pPr>
      <w:jc w:val="right"/>
    </w:pPr>
    <w:rPr/>
  </w:style>
  <w:style w:type="paragraph" w:styleId="1CStyle31">
    <w:name w:val="1CStyle31"/>
    <w:basedOn w:val="Normal"/>
    <w:pPr>
      <w:jc w:val="center"/>
    </w:pPr>
    <w:rPr/>
  </w:style>
  <w:style w:type="paragraph" w:styleId="1CStyle30">
    <w:name w:val="1CStyle30"/>
    <w:basedOn w:val="Normal"/>
    <w:pPr>
      <w:jc w:val="center"/>
    </w:pPr>
    <w:rPr/>
  </w:style>
  <w:style w:type="paragraph" w:styleId="1CStyle74">
    <w:name w:val="1CStyle74"/>
    <w:basedOn w:val="Normal"/>
    <w:pPr>
      <w:jc w:val="center"/>
    </w:pPr>
    <w:rPr/>
  </w:style>
  <w:style w:type="paragraph" w:styleId="1CStyle73">
    <w:name w:val="1CStyle73"/>
    <w:basedOn w:val="Normal"/>
    <w:pPr>
      <w:jc w:val="center"/>
    </w:pPr>
    <w:rPr/>
  </w:style>
  <w:style w:type="paragraph" w:styleId="1CStyle61">
    <w:name w:val="1CStyle61"/>
    <w:basedOn w:val="Normal"/>
    <w:pPr>
      <w:jc w:val="center"/>
    </w:pPr>
    <w:rPr/>
  </w:style>
  <w:style w:type="paragraph" w:styleId="1CStyle76">
    <w:name w:val="1CStyle76"/>
    <w:basedOn w:val="Normal"/>
    <w:pPr>
      <w:jc w:val="center"/>
    </w:pPr>
    <w:rPr/>
  </w:style>
  <w:style w:type="paragraph" w:styleId="1CStyle63">
    <w:name w:val="1CStyle63"/>
    <w:basedOn w:val="Normal"/>
    <w:pPr>
      <w:jc w:val="center"/>
    </w:pPr>
    <w:rPr/>
  </w:style>
  <w:style w:type="paragraph" w:styleId="1CStyle60">
    <w:name w:val="1CStyle60"/>
    <w:basedOn w:val="Normal"/>
    <w:pPr>
      <w:jc w:val="center"/>
    </w:pPr>
    <w:rPr/>
  </w:style>
  <w:style w:type="paragraph" w:styleId="1CStyle75">
    <w:name w:val="1CStyle75"/>
    <w:basedOn w:val="Normal"/>
    <w:pPr>
      <w:jc w:val="center"/>
    </w:pPr>
    <w:rPr/>
  </w:style>
  <w:style w:type="paragraph" w:styleId="1CStyle62">
    <w:name w:val="1CStyle62"/>
    <w:basedOn w:val="Normal"/>
    <w:pPr>
      <w:jc w:val="center"/>
    </w:pPr>
    <w:rPr/>
  </w:style>
  <w:style w:type="paragraph" w:styleId="1CStyle37">
    <w:name w:val="1CStyle37"/>
    <w:basedOn w:val="Normal"/>
    <w:pPr>
      <w:jc w:val="center"/>
    </w:pPr>
    <w:rPr/>
  </w:style>
  <w:style w:type="paragraph" w:styleId="1CStyle56">
    <w:name w:val="1CStyle56"/>
    <w:basedOn w:val="Normal"/>
    <w:pPr>
      <w:jc w:val="center"/>
    </w:pPr>
    <w:rPr/>
  </w:style>
  <w:style w:type="paragraph" w:styleId="1CStyle52">
    <w:name w:val="1CStyle52"/>
    <w:basedOn w:val="Normal"/>
    <w:pPr>
      <w:jc w:val="center"/>
    </w:pPr>
    <w:rPr/>
  </w:style>
  <w:style w:type="paragraph" w:styleId="1CStyle47">
    <w:name w:val="1CStyle47"/>
    <w:basedOn w:val="Normal"/>
    <w:pPr>
      <w:jc w:val="center"/>
    </w:pPr>
    <w:rPr/>
  </w:style>
  <w:style w:type="paragraph" w:styleId="1CStyle36">
    <w:name w:val="1CStyle36"/>
    <w:basedOn w:val="Normal"/>
    <w:pPr>
      <w:jc w:val="center"/>
    </w:pPr>
    <w:rPr/>
  </w:style>
  <w:style w:type="paragraph" w:styleId="1CStyle55">
    <w:name w:val="1CStyle55"/>
    <w:basedOn w:val="Normal"/>
    <w:pPr>
      <w:jc w:val="center"/>
    </w:pPr>
    <w:rPr/>
  </w:style>
  <w:style w:type="paragraph" w:styleId="1CStyle51">
    <w:name w:val="1CStyle51"/>
    <w:basedOn w:val="Normal"/>
    <w:pPr>
      <w:jc w:val="center"/>
    </w:pPr>
    <w:rPr/>
  </w:style>
  <w:style w:type="paragraph" w:styleId="1CStyle46">
    <w:name w:val="1CStyle46"/>
    <w:basedOn w:val="Normal"/>
    <w:pPr>
      <w:jc w:val="center"/>
    </w:pPr>
    <w:rPr/>
  </w:style>
  <w:style w:type="paragraph" w:styleId="1CStyle-1">
    <w:name w:val="1CStyle-1"/>
    <w:basedOn w:val="Normal"/>
    <w:pPr>
      <w:jc w:val="center"/>
    </w:pPr>
    <w:rPr>
      <w:rFonts w:ascii="Arial" w:hAnsi="Arial"/>
      <w:b/>
      <w:sz w:val="18"/>
    </w:rPr>
  </w:style>
  <w:style w:type="paragraph" w:styleId="1CStyle87">
    <w:name w:val="1CStyle87"/>
    <w:basedOn w:val="Normal"/>
    <w:pPr>
      <w:jc w:val="right"/>
    </w:pPr>
    <w:rPr>
      <w:rFonts w:ascii="Arial" w:hAnsi="Arial"/>
      <w:i/>
      <w:b/>
      <w:sz w:val="18"/>
    </w:rPr>
  </w:style>
  <w:style w:type="paragraph" w:styleId="1CStyle66">
    <w:name w:val="1CStyle66"/>
    <w:basedOn w:val="Normal"/>
    <w:pPr>
      <w:jc w:val="center"/>
    </w:pPr>
    <w:rPr/>
  </w:style>
  <w:style w:type="paragraph" w:styleId="1CStyle65">
    <w:name w:val="1CStyle65"/>
    <w:basedOn w:val="Normal"/>
    <w:pPr>
      <w:jc w:val="center"/>
    </w:pPr>
    <w:rPr/>
  </w:style>
  <w:style w:type="paragraph" w:styleId="1CStyle43">
    <w:name w:val="1CStyle43"/>
    <w:basedOn w:val="Normal"/>
    <w:pPr>
      <w:jc w:val="center"/>
    </w:pPr>
    <w:rPr/>
  </w:style>
  <w:style w:type="paragraph" w:styleId="1CStyle42">
    <w:name w:val="1CStyle42"/>
    <w:basedOn w:val="Normal"/>
    <w:pPr>
      <w:jc w:val="center"/>
    </w:pPr>
    <w:rPr/>
  </w:style>
  <w:style w:type="paragraph" w:styleId="1CStyle19">
    <w:name w:val="1CStyle19"/>
    <w:basedOn w:val="Normal"/>
    <w:pPr>
      <w:jc w:val="center"/>
    </w:pPr>
    <w:rPr/>
  </w:style>
  <w:style w:type="paragraph" w:styleId="1CStyle24">
    <w:name w:val="1CStyle24"/>
    <w:basedOn w:val="Normal"/>
    <w:pPr>
      <w:jc w:val="center"/>
    </w:pPr>
    <w:rPr/>
  </w:style>
  <w:style w:type="paragraph" w:styleId="1CStyle26">
    <w:name w:val="1CStyle26"/>
    <w:basedOn w:val="Normal"/>
    <w:pPr>
      <w:jc w:val="center"/>
    </w:pPr>
    <w:rPr/>
  </w:style>
  <w:style w:type="paragraph" w:styleId="1CStyle25">
    <w:name w:val="1CStyle25"/>
    <w:basedOn w:val="Normal"/>
    <w:pPr>
      <w:jc w:val="center"/>
    </w:pPr>
    <w:rPr/>
  </w:style>
  <w:style w:type="paragraph" w:styleId="1CStyle27">
    <w:name w:val="1CStyle27"/>
    <w:basedOn w:val="Normal"/>
    <w:pPr>
      <w:jc w:val="center"/>
    </w:pPr>
    <w:rPr/>
  </w:style>
  <w:style w:type="paragraph" w:styleId="1CStyle93">
    <w:name w:val="1CStyle93"/>
    <w:basedOn w:val="Normal"/>
    <w:pPr>
      <w:jc w:val="center"/>
    </w:pPr>
    <w:rPr>
      <w:rFonts w:ascii="Arial" w:hAnsi="Arial"/>
      <w:sz w:val="14"/>
    </w:rPr>
  </w:style>
  <w:style w:type="paragraph" w:styleId="1CStyle23">
    <w:name w:val="1CStyle23"/>
    <w:basedOn w:val="Normal"/>
    <w:pPr>
      <w:jc w:val="center"/>
    </w:pPr>
    <w:rPr/>
  </w:style>
  <w:style w:type="paragraph" w:styleId="1CStyle28">
    <w:name w:val="1CStyle28"/>
    <w:basedOn w:val="Normal"/>
    <w:pPr>
      <w:jc w:val="center"/>
    </w:pPr>
    <w:rPr/>
  </w:style>
  <w:style w:type="paragraph" w:styleId="1CStyle86">
    <w:name w:val="1CStyle86"/>
    <w:basedOn w:val="Normal"/>
    <w:pPr>
      <w:wordWrap w:val="1"/>
      <w:jc w:val="left"/>
    </w:pPr>
    <w:rPr/>
  </w:style>
  <w:style w:type="paragraph" w:styleId="1CStyle49">
    <w:name w:val="1CStyle49"/>
    <w:basedOn w:val="Normal"/>
    <w:pPr>
      <w:wordWrap w:val="1"/>
      <w:jc w:val="left"/>
    </w:pPr>
    <w:rPr/>
  </w:style>
  <w:style w:type="paragraph" w:styleId="1CStyle50">
    <w:name w:val="1CStyle50"/>
    <w:basedOn w:val="Normal"/>
    <w:pPr>
      <w:wordWrap w:val="1"/>
      <w:jc w:val="left"/>
    </w:pPr>
    <w:rPr/>
  </w:style>
  <w:style w:type="paragraph" w:styleId="1CStyle44">
    <w:name w:val="1CStyle44"/>
    <w:basedOn w:val="Normal"/>
    <w:pPr>
      <w:wordWrap w:val="1"/>
      <w:jc w:val="left"/>
    </w:pPr>
    <w:rPr/>
  </w:style>
  <w:style w:type="paragraph" w:styleId="1CStyle48">
    <w:name w:val="1CStyle48"/>
    <w:basedOn w:val="Normal"/>
    <w:pPr>
      <w:wordWrap w:val="1"/>
      <w:jc w:val="left"/>
    </w:pPr>
    <w:rPr/>
  </w:style>
  <w:style w:type="paragraph" w:styleId="1CStyle29">
    <w:name w:val="1CStyle29"/>
    <w:basedOn w:val="Normal"/>
    <w:pPr>
      <w:wordWrap w:val="1"/>
      <w:jc w:val="left"/>
    </w:pPr>
    <w:rPr>
      <w:rFonts w:ascii="Arial" w:hAnsi="Arial"/>
      <w:b/>
      <w:sz w:val="16"/>
    </w:rPr>
  </w:style>
  <w:style w:type="paragraph" w:styleId="1CStyle80">
    <w:name w:val="1CStyle80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91">
    <w:name w:val="1CStyle91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40">
    <w:name w:val="1CStyle40"/>
    <w:basedOn w:val="Normal"/>
    <w:pPr>
      <w:wordWrap w:val="1"/>
      <w:jc w:val="left"/>
    </w:pPr>
    <w:rPr/>
  </w:style>
  <w:style w:type="paragraph" w:styleId="1CStyle41">
    <w:name w:val="1CStyle41"/>
    <w:basedOn w:val="Normal"/>
    <w:pPr>
      <w:wordWrap w:val="1"/>
      <w:jc w:val="left"/>
    </w:pPr>
    <w:rPr/>
  </w:style>
  <w:style w:type="paragraph" w:styleId="1CStyle39">
    <w:name w:val="1CStyle39"/>
    <w:basedOn w:val="Normal"/>
    <w:pPr>
      <w:wordWrap w:val="1"/>
      <w:jc w:val="left"/>
    </w:pPr>
    <w:rPr/>
  </w:style>
  <w:style w:type="paragraph" w:styleId="1CStyle21">
    <w:name w:val="1CStyle21"/>
    <w:basedOn w:val="Normal"/>
    <w:pPr>
      <w:wordWrap w:val="1"/>
      <w:jc w:val="center"/>
    </w:pPr>
    <w:rPr/>
  </w:style>
  <w:style w:type="paragraph" w:styleId="1CStyle20">
    <w:name w:val="1CStyle20"/>
    <w:basedOn w:val="Normal"/>
    <w:pPr>
      <w:wordWrap w:val="1"/>
      <w:jc w:val="center"/>
    </w:pPr>
    <w:rPr/>
  </w:style>
  <w:style w:type="paragraph" w:styleId="1CStyle22">
    <w:name w:val="1CStyle22"/>
    <w:basedOn w:val="Normal"/>
    <w:pPr>
      <w:wordWrap w:val="1"/>
      <w:jc w:val="center"/>
    </w:pPr>
    <w:rPr/>
  </w:style>
  <w:style w:type="paragraph" w:styleId="1CStyle79">
    <w:name w:val="1CStyle79"/>
    <w:basedOn w:val="Normal"/>
    <w:pPr>
      <w:jc w:val="left"/>
    </w:pPr>
    <w:rPr>
      <w:rFonts w:ascii="Arial" w:hAnsi="Arial"/>
      <w:b/>
      <w:sz w:val="18"/>
    </w:rPr>
  </w:style>
  <w:style w:type="paragraph" w:styleId="1CStyle5">
    <w:name w:val="1CStyle5"/>
    <w:basedOn w:val="Normal"/>
    <w:pPr>
      <w:jc w:val="center"/>
    </w:pPr>
    <w:rPr/>
  </w:style>
  <w:style w:type="paragraph" w:styleId="1CStyle3">
    <w:name w:val="1CStyle3"/>
    <w:basedOn w:val="Normal"/>
    <w:pPr>
      <w:jc w:val="right"/>
    </w:pPr>
    <w:rPr/>
  </w:style>
  <w:style w:type="paragraph" w:styleId="1CStyle11">
    <w:name w:val="1CStyle11"/>
    <w:basedOn w:val="Normal"/>
    <w:pPr>
      <w:jc w:val="right"/>
    </w:pPr>
    <w:rPr/>
  </w:style>
  <w:style w:type="paragraph" w:styleId="1CStyle0">
    <w:name w:val="1CStyle0"/>
    <w:basedOn w:val="Normal"/>
    <w:pPr>
      <w:jc w:val="center"/>
    </w:pPr>
    <w:rPr/>
  </w:style>
  <w:style w:type="paragraph" w:styleId="1CStyle17">
    <w:name w:val="1CStyle17"/>
    <w:basedOn w:val="Normal"/>
    <w:pPr>
      <w:jc w:val="center"/>
    </w:pPr>
    <w:rPr/>
  </w:style>
  <w:style w:type="paragraph" w:styleId="1CStyle4">
    <w:name w:val="1CStyle4"/>
    <w:basedOn w:val="Normal"/>
    <w:pPr>
      <w:jc w:val="center"/>
    </w:pPr>
    <w:rPr/>
  </w:style>
  <w:style w:type="paragraph" w:styleId="1CStyle82">
    <w:name w:val="1CStyle82"/>
    <w:basedOn w:val="Normal"/>
    <w:pPr>
      <w:jc w:val="center"/>
    </w:pPr>
    <w:rPr>
      <w:rFonts w:ascii="Arial" w:hAnsi="Arial"/>
      <w:sz w:val="14"/>
    </w:rPr>
  </w:style>
  <w:style w:type="paragraph" w:styleId="1CStyle83">
    <w:name w:val="1CStyle83"/>
    <w:basedOn w:val="Normal"/>
    <w:pPr>
      <w:jc w:val="center"/>
    </w:pPr>
    <w:rPr>
      <w:rFonts w:ascii="Arial" w:hAnsi="Arial"/>
      <w:sz w:val="14"/>
    </w:rPr>
  </w:style>
  <w:style w:type="paragraph" w:styleId="1CStyle84">
    <w:name w:val="1CStyle84"/>
    <w:basedOn w:val="Normal"/>
    <w:pPr>
      <w:wordWrap w:val="1"/>
      <w:jc w:val="left"/>
    </w:pPr>
    <w:rPr/>
  </w:style>
  <w:style w:type="paragraph" w:styleId="1CStyle81">
    <w:name w:val="1CStyle81"/>
    <w:basedOn w:val="Normal"/>
    <w:pPr>
      <w:wordWrap w:val="1"/>
      <w:jc w:val="left"/>
    </w:pPr>
    <w:rPr/>
  </w:style>
  <w:style w:type="paragraph" w:styleId="1CStyle10">
    <w:name w:val="1CStyle10"/>
    <w:basedOn w:val="Normal"/>
    <w:pPr>
      <w:wordWrap w:val="1"/>
      <w:jc w:val="left"/>
    </w:pPr>
    <w:rPr/>
  </w:style>
  <w:style w:type="paragraph" w:styleId="1CStyle90">
    <w:name w:val="1CStyle90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88">
    <w:name w:val="1CStyle88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78">
    <w:name w:val="1CStyle78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85">
    <w:name w:val="1CStyle85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9">
    <w:name w:val="1CStyle9"/>
    <w:basedOn w:val="Normal"/>
    <w:pPr>
      <w:wordWrap w:val="1"/>
      <w:jc w:val="left"/>
    </w:pPr>
    <w:rPr/>
  </w:style>
  <w:style w:type="paragraph" w:styleId="1CStyle15">
    <w:name w:val="1CStyle15"/>
    <w:basedOn w:val="Normal"/>
    <w:pPr>
      <w:wordWrap w:val="1"/>
      <w:jc w:val="left"/>
    </w:pPr>
    <w:rPr/>
  </w:style>
  <w:style w:type="paragraph" w:styleId="1CStyle7">
    <w:name w:val="1CStyle7"/>
    <w:basedOn w:val="Normal"/>
    <w:pPr>
      <w:jc w:val="right"/>
    </w:pPr>
    <w:rPr/>
  </w:style>
  <w:style w:type="paragraph" w:styleId="1CStyle45">
    <w:name w:val="1CStyle45"/>
    <w:basedOn w:val="Normal"/>
    <w:pPr>
      <w:wordWrap w:val="1"/>
      <w:jc w:val="left"/>
    </w:pPr>
    <w:rPr/>
  </w:style>
  <w:style w:type="paragraph" w:styleId="1CStyle32">
    <w:name w:val="1CStyle32"/>
    <w:basedOn w:val="Normal"/>
    <w:pPr>
      <w:wordWrap w:val="1"/>
      <w:jc w:val="left"/>
    </w:pPr>
    <w:rPr/>
  </w:style>
  <w:style w:type="paragraph" w:styleId="1CStyle72">
    <w:name w:val="1CStyle72"/>
    <w:basedOn w:val="Normal"/>
    <w:pPr>
      <w:wordWrap w:val="1"/>
      <w:jc w:val="left"/>
    </w:pPr>
    <w:rPr>
      <w:rFonts w:ascii="Arial" w:hAnsi="Arial"/>
      <w:b/>
      <w:sz w:val="16"/>
    </w:rPr>
  </w:style>
  <w:style w:type="paragraph" w:styleId="1CStyle64">
    <w:name w:val="1CStyle64"/>
    <w:basedOn w:val="Normal"/>
    <w:pPr>
      <w:wordWrap w:val="1"/>
      <w:jc w:val="left"/>
    </w:pPr>
    <w:rPr/>
  </w:style>
  <w:style w:type="paragraph" w:styleId="1CStyle14">
    <w:name w:val="1CStyle14"/>
    <w:basedOn w:val="Normal"/>
    <w:pPr>
      <w:jc w:val="center"/>
    </w:pPr>
    <w:rPr/>
  </w:style>
  <w:style w:type="paragraph" w:styleId="1CStyle16">
    <w:name w:val="1CStyle16"/>
    <w:basedOn w:val="Normal"/>
    <w:pPr>
      <w:jc w:val="center"/>
    </w:pPr>
    <w:rPr/>
  </w:style>
  <w:style w:type="paragraph" w:styleId="1CStyle18">
    <w:name w:val="1CStyle18"/>
    <w:basedOn w:val="Normal"/>
    <w:pPr>
      <w:jc w:val="center"/>
    </w:pPr>
    <w:rPr/>
  </w:style>
  <w:style w:type="paragraph" w:styleId="1CStyle12">
    <w:name w:val="1CStyle12"/>
    <w:basedOn w:val="Normal"/>
    <w:pPr>
      <w:jc w:val="center"/>
    </w:pPr>
    <w:rPr/>
  </w:style>
  <w:style w:type="paragraph" w:styleId="1CStyle92">
    <w:name w:val="1CStyle92"/>
    <w:basedOn w:val="Normal"/>
    <w:pPr>
      <w:jc w:val="left"/>
    </w:pPr>
    <w:rPr>
      <w:rFonts w:ascii="Arial" w:hAnsi="Arial"/>
      <w:b/>
      <w:sz w:val="18"/>
    </w:rPr>
  </w:style>
  <w:style w:type="paragraph" w:styleId="1CStyle13">
    <w:name w:val="1CStyle13"/>
    <w:basedOn w:val="Normal"/>
    <w:pPr>
      <w:wordWrap w:val="1"/>
      <w:jc w:val="left"/>
    </w:pPr>
    <w:rPr/>
  </w:style>
  <w:style w:type="paragraph" w:styleId="1CStyle89">
    <w:name w:val="1CStyle89"/>
    <w:basedOn w:val="Normal"/>
    <w:pPr>
      <w:wordWrap w:val="1"/>
      <w:jc w:val="left"/>
    </w:pPr>
    <w:rPr>
      <w:rFonts w:ascii="Arial" w:hAnsi="Arial"/>
      <w:b/>
      <w:sz w:val="18"/>
    </w:rPr>
  </w:style>
  <w:style w:type="paragraph" w:styleId="1CStyle8">
    <w:name w:val="1CStyle8"/>
    <w:basedOn w:val="Normal"/>
    <w:pPr>
      <w:jc w:val="center"/>
    </w:pPr>
    <w:rPr/>
  </w:style>
  <w:style w:type="paragraph" w:styleId="1CStyle94">
    <w:name w:val="1CStyle94"/>
    <w:basedOn w:val="Normal"/>
    <w:pPr>
      <w:jc w:val="left"/>
    </w:pPr>
    <w:rPr>
      <w:rFonts w:ascii="Arial" w:hAnsi="Arial"/>
      <w:sz w:val="22"/>
      <w:u w:val="single"/>
    </w:rPr>
  </w:style>
  <w:style w:type="paragraph" w:styleId="1CStyle69">
    <w:name w:val="1CStyle69"/>
    <w:basedOn w:val="Normal"/>
    <w:pPr>
      <w:jc w:val="right"/>
    </w:pPr>
    <w:rPr/>
  </w:style>
  <w:style w:type="paragraph" w:styleId="1CStyle67">
    <w:name w:val="1CStyle67"/>
    <w:basedOn w:val="Normal"/>
    <w:pPr>
      <w:jc w:val="right"/>
    </w:pPr>
    <w:rPr/>
  </w:style>
  <w:style w:type="paragraph" w:styleId="1CStyle77">
    <w:name w:val="1CStyle77"/>
    <w:basedOn w:val="Normal"/>
    <w:pPr>
      <w:jc w:val="right"/>
    </w:pPr>
    <w:rPr/>
  </w:style>
  <w:style w:type="paragraph" w:styleId="1CStyle33">
    <w:name w:val="1CStyle33"/>
    <w:basedOn w:val="Normal"/>
    <w:pPr>
      <w:jc w:val="right"/>
    </w:pPr>
    <w:rPr/>
  </w:style>
  <w:style w:type="paragraph" w:styleId="1CStyle54">
    <w:name w:val="1CStyle54"/>
    <w:basedOn w:val="Normal"/>
    <w:pPr>
      <w:jc w:val="right"/>
    </w:pPr>
    <w:rPr/>
  </w:style>
  <w:style w:type="paragraph" w:styleId="1CStyle58">
    <w:name w:val="1CStyle58"/>
    <w:basedOn w:val="Normal"/>
    <w:pPr>
      <w:jc w:val="right"/>
    </w:pPr>
    <w:rPr/>
  </w:style>
  <w:style w:type="paragraph" w:styleId="1CStyle34">
    <w:name w:val="1CStyle34"/>
    <w:basedOn w:val="Normal"/>
    <w:pPr>
      <w:jc w:val="right"/>
    </w:pPr>
    <w:rPr/>
  </w:style>
  <w:style w:type="paragraph" w:styleId="1CStyle53">
    <w:name w:val="1CStyle53"/>
    <w:basedOn w:val="Normal"/>
    <w:pPr>
      <w:jc w:val="right"/>
    </w:pPr>
    <w:rPr/>
  </w:style>
  <w:style w:type="paragraph" w:styleId="1CStyle38">
    <w:name w:val="1CStyle38"/>
    <w:basedOn w:val="Normal"/>
    <w:pPr>
      <w:jc w:val="right"/>
    </w:pPr>
    <w:rPr/>
  </w:style>
  <w:style w:type="paragraph" w:styleId="1CStyle57">
    <w:name w:val="1CStyle57"/>
    <w:basedOn w:val="Normal"/>
    <w:pPr>
      <w:jc w:val="right"/>
    </w:pPr>
    <w:rPr/>
  </w:style>
  <w:style w:type="paragraph" w:styleId="1CStyle35">
    <w:name w:val="1CStyle35"/>
    <w:basedOn w:val="Normal"/>
    <w:pPr>
      <w:jc w:val="right"/>
    </w:pPr>
    <w:rPr/>
  </w:style>
  <w:style w:type="paragraph" w:styleId="1CStyle59">
    <w:name w:val="1CStyle59"/>
    <w:basedOn w:val="Normal"/>
    <w:pPr>
      <w:jc w:val="right"/>
    </w:pPr>
    <w:rPr/>
  </w:style>
  <w:style w:type="paragraph" w:styleId="1CStyle71">
    <w:name w:val="1CStyle71"/>
    <w:basedOn w:val="Normal"/>
    <w:pPr>
      <w:jc w:val="right"/>
    </w:pPr>
    <w:rPr/>
  </w:style>
  <w:style w:type="paragraph" w:styleId="1CStyle68">
    <w:name w:val="1CStyle68"/>
    <w:basedOn w:val="Normal"/>
    <w:pPr>
      <w:jc w:val="right"/>
    </w:pPr>
    <w:rPr/>
  </w:style>
  <w:style w:type="paragraph" w:styleId="1CStyle70">
    <w:name w:val="1CStyle70"/>
    <w:basedOn w:val="Normal"/>
    <w:pPr>
      <w:jc w:val="right"/>
    </w:pPr>
    <w:rPr/>
  </w:style>
  <w:style w:type="paragraph" w:styleId="1CStyle1">
    <w:name w:val="1CStyle1"/>
    <w:basedOn w:val="Normal"/>
    <w:pPr>
      <w:wordWrap w:val="1"/>
      <w:ind w:left="0"/>
      <w:jc w:val="center"/>
    </w:pPr>
    <w:rPr>
      <w:rFonts w:ascii="Arial" w:hAnsi="Arial"/>
      <w:b/>
      <w:sz w:val="18"/>
    </w:rPr>
  </w:style>
  <w:style w:type="paragraph" w:styleId="1CStyle2">
    <w:name w:val="1CStyle2"/>
    <w:basedOn w:val="Normal"/>
    <w:pPr>
      <w:wordWrap w:val="1"/>
      <w:ind w:left="0"/>
      <w:jc w:val="center"/>
    </w:pPr>
    <w:rPr>
      <w:rFonts w:ascii="Arial" w:hAnsi="Arial"/>
      <w:b/>
      <w:sz w:val="18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